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6A3F" w14:textId="1E629C51" w:rsidR="006659AC" w:rsidRPr="000B16A9" w:rsidRDefault="006659AC" w:rsidP="000B16A9">
      <w:pPr>
        <w:pStyle w:val="ListParagraph"/>
        <w:ind w:left="1571"/>
        <w:jc w:val="center"/>
        <w:rPr>
          <w:b/>
          <w:bCs/>
          <w:color w:val="1ECEE0"/>
          <w:sz w:val="36"/>
          <w:szCs w:val="36"/>
          <w:u w:val="single"/>
        </w:rPr>
      </w:pPr>
      <w:r w:rsidRPr="000B16A9">
        <w:rPr>
          <w:b/>
          <w:bCs/>
          <w:color w:val="1ECEE0"/>
          <w:sz w:val="36"/>
          <w:szCs w:val="36"/>
          <w:u w:val="single"/>
        </w:rPr>
        <w:t>Tumour Lysis Symptom protocol</w:t>
      </w:r>
    </w:p>
    <w:p w14:paraId="0CBE1F04" w14:textId="038286B4" w:rsidR="006659AC" w:rsidRPr="000B16A9" w:rsidRDefault="000B16A9" w:rsidP="000B16A9">
      <w:pPr>
        <w:pStyle w:val="ListParagraph"/>
        <w:ind w:left="1571"/>
        <w:jc w:val="center"/>
        <w:rPr>
          <w:b/>
          <w:bCs/>
          <w:color w:val="1ECEE0"/>
          <w:sz w:val="36"/>
          <w:szCs w:val="36"/>
          <w:u w:val="single"/>
        </w:rPr>
      </w:pPr>
      <w:r w:rsidRPr="000B16A9">
        <w:rPr>
          <w:b/>
          <w:bCs/>
          <w:color w:val="1ECEE0"/>
          <w:sz w:val="36"/>
          <w:szCs w:val="36"/>
          <w:u w:val="single"/>
        </w:rPr>
        <w:t>VENETOCLAX</w:t>
      </w:r>
    </w:p>
    <w:tbl>
      <w:tblPr>
        <w:tblStyle w:val="TableGrid"/>
        <w:tblW w:w="0" w:type="auto"/>
        <w:tblInd w:w="279" w:type="dxa"/>
        <w:tblLook w:val="04A0" w:firstRow="1" w:lastRow="0" w:firstColumn="1" w:lastColumn="0" w:noHBand="0" w:noVBand="1"/>
      </w:tblPr>
      <w:tblGrid>
        <w:gridCol w:w="3260"/>
        <w:gridCol w:w="1480"/>
        <w:gridCol w:w="425"/>
        <w:gridCol w:w="1251"/>
        <w:gridCol w:w="2321"/>
      </w:tblGrid>
      <w:tr w:rsidR="006659AC" w14:paraId="3E22DFF3"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6FD4D963" w14:textId="77777777" w:rsidR="006659AC" w:rsidRPr="000B16A9" w:rsidRDefault="006659AC" w:rsidP="00B83A40">
            <w:pPr>
              <w:pStyle w:val="ListParagraph"/>
              <w:ind w:left="0"/>
              <w:jc w:val="center"/>
              <w:rPr>
                <w:b/>
                <w:bCs/>
                <w:sz w:val="32"/>
                <w:szCs w:val="32"/>
                <w:lang w:eastAsia="en-US"/>
              </w:rPr>
            </w:pPr>
            <w:r w:rsidRPr="000B16A9">
              <w:rPr>
                <w:b/>
                <w:bCs/>
                <w:sz w:val="32"/>
                <w:szCs w:val="32"/>
                <w:lang w:eastAsia="en-US"/>
              </w:rPr>
              <w:t>Electrolyte</w:t>
            </w:r>
          </w:p>
        </w:tc>
        <w:tc>
          <w:tcPr>
            <w:tcW w:w="1480" w:type="dxa"/>
            <w:tcBorders>
              <w:top w:val="single" w:sz="4" w:space="0" w:color="auto"/>
              <w:left w:val="single" w:sz="4" w:space="0" w:color="auto"/>
              <w:bottom w:val="single" w:sz="4" w:space="0" w:color="auto"/>
              <w:right w:val="single" w:sz="4" w:space="0" w:color="auto"/>
            </w:tcBorders>
            <w:hideMark/>
          </w:tcPr>
          <w:p w14:paraId="53A49763" w14:textId="08F2B451" w:rsidR="006659AC" w:rsidRPr="003601EA" w:rsidRDefault="006659AC" w:rsidP="00B83A40">
            <w:pPr>
              <w:pStyle w:val="ListParagraph"/>
              <w:ind w:left="0"/>
              <w:jc w:val="center"/>
              <w:rPr>
                <w:b/>
                <w:bCs/>
                <w:sz w:val="28"/>
                <w:szCs w:val="28"/>
                <w:vertAlign w:val="superscript"/>
                <w:lang w:eastAsia="en-US"/>
              </w:rPr>
            </w:pPr>
            <w:proofErr w:type="spellStart"/>
            <w:r w:rsidRPr="006659AC">
              <w:rPr>
                <w:b/>
                <w:bCs/>
                <w:sz w:val="28"/>
                <w:szCs w:val="28"/>
                <w:lang w:eastAsia="en-US"/>
              </w:rPr>
              <w:t>Increase</w:t>
            </w:r>
            <w:r w:rsidR="003601EA">
              <w:rPr>
                <w:b/>
                <w:bCs/>
                <w:sz w:val="28"/>
                <w:szCs w:val="28"/>
                <w:vertAlign w:val="superscript"/>
                <w:lang w:eastAsia="en-US"/>
              </w:rPr>
              <w:t>a</w:t>
            </w:r>
            <w:proofErr w:type="spellEnd"/>
          </w:p>
        </w:tc>
        <w:tc>
          <w:tcPr>
            <w:tcW w:w="1676" w:type="dxa"/>
            <w:gridSpan w:val="2"/>
            <w:tcBorders>
              <w:top w:val="single" w:sz="4" w:space="0" w:color="auto"/>
              <w:left w:val="single" w:sz="4" w:space="0" w:color="auto"/>
              <w:bottom w:val="single" w:sz="4" w:space="0" w:color="auto"/>
              <w:right w:val="single" w:sz="4" w:space="0" w:color="auto"/>
            </w:tcBorders>
            <w:hideMark/>
          </w:tcPr>
          <w:p w14:paraId="6C508482" w14:textId="30A1C81B" w:rsidR="006659AC" w:rsidRPr="003601EA" w:rsidRDefault="006659AC" w:rsidP="00B83A40">
            <w:pPr>
              <w:pStyle w:val="ListParagraph"/>
              <w:ind w:left="0"/>
              <w:jc w:val="center"/>
              <w:rPr>
                <w:b/>
                <w:bCs/>
                <w:sz w:val="28"/>
                <w:szCs w:val="28"/>
                <w:vertAlign w:val="superscript"/>
                <w:lang w:eastAsia="en-US"/>
              </w:rPr>
            </w:pPr>
            <w:proofErr w:type="spellStart"/>
            <w:r w:rsidRPr="006659AC">
              <w:rPr>
                <w:b/>
                <w:bCs/>
                <w:sz w:val="28"/>
                <w:szCs w:val="28"/>
                <w:lang w:eastAsia="en-US"/>
              </w:rPr>
              <w:t>Decrease</w:t>
            </w:r>
            <w:r w:rsidR="003601EA">
              <w:rPr>
                <w:b/>
                <w:bCs/>
                <w:sz w:val="28"/>
                <w:szCs w:val="28"/>
                <w:vertAlign w:val="superscript"/>
                <w:lang w:eastAsia="en-US"/>
              </w:rPr>
              <w:t>b</w:t>
            </w:r>
            <w:proofErr w:type="spellEnd"/>
          </w:p>
        </w:tc>
        <w:tc>
          <w:tcPr>
            <w:tcW w:w="2321" w:type="dxa"/>
            <w:tcBorders>
              <w:top w:val="single" w:sz="4" w:space="0" w:color="auto"/>
              <w:left w:val="single" w:sz="4" w:space="0" w:color="auto"/>
              <w:bottom w:val="single" w:sz="4" w:space="0" w:color="auto"/>
              <w:right w:val="single" w:sz="4" w:space="0" w:color="auto"/>
            </w:tcBorders>
            <w:hideMark/>
          </w:tcPr>
          <w:p w14:paraId="67F85D5E" w14:textId="77777777" w:rsidR="006659AC" w:rsidRPr="006659AC" w:rsidRDefault="006659AC" w:rsidP="00B83A40">
            <w:pPr>
              <w:pStyle w:val="ListParagraph"/>
              <w:ind w:left="0"/>
              <w:jc w:val="center"/>
              <w:rPr>
                <w:b/>
                <w:bCs/>
                <w:sz w:val="28"/>
                <w:szCs w:val="28"/>
                <w:lang w:eastAsia="en-US"/>
              </w:rPr>
            </w:pPr>
            <w:r w:rsidRPr="006659AC">
              <w:rPr>
                <w:b/>
                <w:bCs/>
                <w:sz w:val="28"/>
                <w:szCs w:val="28"/>
                <w:lang w:eastAsia="en-US"/>
              </w:rPr>
              <w:t>Absolute TLS</w:t>
            </w:r>
          </w:p>
        </w:tc>
      </w:tr>
      <w:tr w:rsidR="006659AC" w14:paraId="6C08EA93"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5AF65055" w14:textId="77777777" w:rsidR="006659AC" w:rsidRPr="000B16A9" w:rsidRDefault="006659AC" w:rsidP="00B83A40">
            <w:pPr>
              <w:pStyle w:val="ListParagraph"/>
              <w:ind w:left="0"/>
              <w:jc w:val="center"/>
              <w:rPr>
                <w:b/>
                <w:bCs/>
                <w:sz w:val="32"/>
                <w:szCs w:val="32"/>
                <w:lang w:eastAsia="en-US"/>
              </w:rPr>
            </w:pPr>
            <w:r w:rsidRPr="000B16A9">
              <w:rPr>
                <w:b/>
                <w:bCs/>
                <w:color w:val="7030A0"/>
                <w:sz w:val="32"/>
                <w:szCs w:val="32"/>
                <w:lang w:eastAsia="en-US"/>
              </w:rPr>
              <w:t>Phosphate</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4ABAA"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&gt;25%</w:t>
            </w:r>
          </w:p>
        </w:tc>
        <w:tc>
          <w:tcPr>
            <w:tcW w:w="1676" w:type="dxa"/>
            <w:gridSpan w:val="2"/>
            <w:tcBorders>
              <w:top w:val="single" w:sz="4" w:space="0" w:color="auto"/>
              <w:left w:val="single" w:sz="4" w:space="0" w:color="auto"/>
              <w:bottom w:val="single" w:sz="4" w:space="0" w:color="auto"/>
              <w:right w:val="single" w:sz="4" w:space="0" w:color="auto"/>
            </w:tcBorders>
            <w:shd w:val="clear" w:color="auto" w:fill="E24CA2"/>
          </w:tcPr>
          <w:p w14:paraId="34EA69FB" w14:textId="77777777" w:rsidR="006659AC" w:rsidRPr="006659AC" w:rsidRDefault="006659AC" w:rsidP="00B83A40">
            <w:pPr>
              <w:pStyle w:val="ListParagraph"/>
              <w:ind w:left="0"/>
              <w:jc w:val="center"/>
              <w:rPr>
                <w:sz w:val="28"/>
                <w:szCs w:val="28"/>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1FF09821"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&gt;1.5 mmol/litre</w:t>
            </w:r>
          </w:p>
        </w:tc>
      </w:tr>
      <w:tr w:rsidR="006659AC" w14:paraId="234A6D01"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2D1BF946" w14:textId="77777777" w:rsidR="006659AC" w:rsidRPr="000B16A9" w:rsidRDefault="006659AC" w:rsidP="00B83A40">
            <w:pPr>
              <w:pStyle w:val="ListParagraph"/>
              <w:ind w:left="0"/>
              <w:jc w:val="center"/>
              <w:rPr>
                <w:b/>
                <w:bCs/>
                <w:sz w:val="32"/>
                <w:szCs w:val="32"/>
                <w:lang w:eastAsia="en-US"/>
              </w:rPr>
            </w:pPr>
            <w:r w:rsidRPr="000B16A9">
              <w:rPr>
                <w:b/>
                <w:bCs/>
                <w:color w:val="7030A0"/>
                <w:sz w:val="32"/>
                <w:szCs w:val="32"/>
                <w:lang w:eastAsia="en-US"/>
              </w:rPr>
              <w:t>Potassium</w:t>
            </w:r>
          </w:p>
        </w:tc>
        <w:tc>
          <w:tcPr>
            <w:tcW w:w="1480" w:type="dxa"/>
            <w:tcBorders>
              <w:top w:val="single" w:sz="4" w:space="0" w:color="auto"/>
              <w:left w:val="single" w:sz="4" w:space="0" w:color="auto"/>
              <w:bottom w:val="single" w:sz="4" w:space="0" w:color="auto"/>
              <w:right w:val="single" w:sz="4" w:space="0" w:color="auto"/>
            </w:tcBorders>
            <w:hideMark/>
          </w:tcPr>
          <w:p w14:paraId="2536AD40"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&gt;0.5 mmol</w:t>
            </w:r>
          </w:p>
        </w:tc>
        <w:tc>
          <w:tcPr>
            <w:tcW w:w="1676" w:type="dxa"/>
            <w:gridSpan w:val="2"/>
            <w:tcBorders>
              <w:top w:val="single" w:sz="4" w:space="0" w:color="auto"/>
              <w:left w:val="single" w:sz="4" w:space="0" w:color="auto"/>
              <w:bottom w:val="single" w:sz="4" w:space="0" w:color="auto"/>
              <w:right w:val="single" w:sz="4" w:space="0" w:color="auto"/>
            </w:tcBorders>
            <w:shd w:val="clear" w:color="auto" w:fill="E24CA2"/>
          </w:tcPr>
          <w:p w14:paraId="3DA13A48" w14:textId="77777777" w:rsidR="006659AC" w:rsidRPr="006659AC" w:rsidRDefault="006659AC" w:rsidP="00B83A40">
            <w:pPr>
              <w:pStyle w:val="ListParagraph"/>
              <w:ind w:left="0"/>
              <w:jc w:val="center"/>
              <w:rPr>
                <w:sz w:val="28"/>
                <w:szCs w:val="28"/>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6D45A150"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&gt;6mmol/litre</w:t>
            </w:r>
          </w:p>
        </w:tc>
      </w:tr>
      <w:tr w:rsidR="006659AC" w14:paraId="746B5609"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79448B6A" w14:textId="77777777" w:rsidR="006659AC" w:rsidRPr="000B16A9" w:rsidRDefault="006659AC" w:rsidP="00B83A40">
            <w:pPr>
              <w:pStyle w:val="ListParagraph"/>
              <w:ind w:left="0"/>
              <w:jc w:val="center"/>
              <w:rPr>
                <w:b/>
                <w:bCs/>
                <w:sz w:val="32"/>
                <w:szCs w:val="32"/>
                <w:lang w:eastAsia="en-US"/>
              </w:rPr>
            </w:pPr>
            <w:r w:rsidRPr="000B16A9">
              <w:rPr>
                <w:b/>
                <w:bCs/>
                <w:color w:val="7030A0"/>
                <w:sz w:val="32"/>
                <w:szCs w:val="32"/>
                <w:lang w:eastAsia="en-US"/>
              </w:rPr>
              <w:t>Urate</w:t>
            </w:r>
          </w:p>
        </w:tc>
        <w:tc>
          <w:tcPr>
            <w:tcW w:w="1480" w:type="dxa"/>
            <w:tcBorders>
              <w:top w:val="single" w:sz="4" w:space="0" w:color="auto"/>
              <w:left w:val="single" w:sz="4" w:space="0" w:color="auto"/>
              <w:bottom w:val="single" w:sz="4" w:space="0" w:color="auto"/>
              <w:right w:val="single" w:sz="4" w:space="0" w:color="auto"/>
            </w:tcBorders>
            <w:hideMark/>
          </w:tcPr>
          <w:p w14:paraId="55A5495C"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&gt;25%</w:t>
            </w:r>
          </w:p>
        </w:tc>
        <w:tc>
          <w:tcPr>
            <w:tcW w:w="1676" w:type="dxa"/>
            <w:gridSpan w:val="2"/>
            <w:tcBorders>
              <w:top w:val="single" w:sz="4" w:space="0" w:color="auto"/>
              <w:left w:val="single" w:sz="4" w:space="0" w:color="auto"/>
              <w:bottom w:val="single" w:sz="4" w:space="0" w:color="auto"/>
              <w:right w:val="single" w:sz="4" w:space="0" w:color="auto"/>
            </w:tcBorders>
            <w:shd w:val="clear" w:color="auto" w:fill="E24CA2"/>
          </w:tcPr>
          <w:p w14:paraId="40FC1EF8" w14:textId="77777777" w:rsidR="006659AC" w:rsidRPr="006659AC" w:rsidRDefault="006659AC" w:rsidP="00B83A40">
            <w:pPr>
              <w:pStyle w:val="ListParagraph"/>
              <w:ind w:left="0"/>
              <w:jc w:val="center"/>
              <w:rPr>
                <w:sz w:val="28"/>
                <w:szCs w:val="28"/>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233CF40D"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&gt;476 mmol/litre</w:t>
            </w:r>
          </w:p>
        </w:tc>
      </w:tr>
      <w:tr w:rsidR="006659AC" w14:paraId="7FF4656F"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54D083C4" w14:textId="77777777" w:rsidR="006659AC" w:rsidRPr="000B16A9" w:rsidRDefault="006659AC" w:rsidP="00B83A40">
            <w:pPr>
              <w:pStyle w:val="ListParagraph"/>
              <w:ind w:left="0"/>
              <w:jc w:val="center"/>
              <w:rPr>
                <w:b/>
                <w:bCs/>
                <w:sz w:val="32"/>
                <w:szCs w:val="32"/>
                <w:lang w:eastAsia="en-US"/>
              </w:rPr>
            </w:pPr>
            <w:r w:rsidRPr="000B16A9">
              <w:rPr>
                <w:b/>
                <w:bCs/>
                <w:color w:val="7030A0"/>
                <w:sz w:val="32"/>
                <w:szCs w:val="32"/>
                <w:lang w:eastAsia="en-US"/>
              </w:rPr>
              <w:t>Corrected Calcium</w:t>
            </w:r>
          </w:p>
        </w:tc>
        <w:tc>
          <w:tcPr>
            <w:tcW w:w="1480" w:type="dxa"/>
            <w:tcBorders>
              <w:top w:val="single" w:sz="4" w:space="0" w:color="auto"/>
              <w:left w:val="single" w:sz="4" w:space="0" w:color="auto"/>
              <w:bottom w:val="single" w:sz="4" w:space="0" w:color="auto"/>
              <w:right w:val="single" w:sz="4" w:space="0" w:color="auto"/>
            </w:tcBorders>
            <w:shd w:val="clear" w:color="auto" w:fill="E24CA2"/>
          </w:tcPr>
          <w:p w14:paraId="5E5BD0A4" w14:textId="77777777" w:rsidR="006659AC" w:rsidRPr="006659AC" w:rsidRDefault="006659AC" w:rsidP="00B83A40">
            <w:pPr>
              <w:pStyle w:val="ListParagraph"/>
              <w:ind w:left="0"/>
              <w:jc w:val="center"/>
              <w:rPr>
                <w:sz w:val="28"/>
                <w:szCs w:val="28"/>
                <w:lang w:eastAsia="en-US"/>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36006A3"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&gt;25%</w:t>
            </w:r>
          </w:p>
        </w:tc>
        <w:tc>
          <w:tcPr>
            <w:tcW w:w="2321" w:type="dxa"/>
            <w:tcBorders>
              <w:top w:val="single" w:sz="4" w:space="0" w:color="auto"/>
              <w:left w:val="single" w:sz="4" w:space="0" w:color="auto"/>
              <w:bottom w:val="single" w:sz="4" w:space="0" w:color="auto"/>
              <w:right w:val="single" w:sz="4" w:space="0" w:color="auto"/>
            </w:tcBorders>
            <w:hideMark/>
          </w:tcPr>
          <w:p w14:paraId="15EB53A4"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&lt;1.75 mmol/litre</w:t>
            </w:r>
          </w:p>
        </w:tc>
      </w:tr>
      <w:tr w:rsidR="006659AC" w14:paraId="2C5861EE" w14:textId="77777777" w:rsidTr="000B16A9">
        <w:tc>
          <w:tcPr>
            <w:tcW w:w="3260" w:type="dxa"/>
            <w:tcBorders>
              <w:top w:val="single" w:sz="4" w:space="0" w:color="auto"/>
              <w:left w:val="single" w:sz="4" w:space="0" w:color="auto"/>
              <w:bottom w:val="single" w:sz="4" w:space="0" w:color="auto"/>
              <w:right w:val="single" w:sz="4" w:space="0" w:color="auto"/>
            </w:tcBorders>
            <w:hideMark/>
          </w:tcPr>
          <w:p w14:paraId="5DE44FA1" w14:textId="77777777" w:rsidR="006659AC" w:rsidRPr="000B16A9" w:rsidRDefault="006659AC" w:rsidP="00B83A40">
            <w:pPr>
              <w:pStyle w:val="ListParagraph"/>
              <w:ind w:left="0"/>
              <w:jc w:val="center"/>
              <w:rPr>
                <w:b/>
                <w:bCs/>
                <w:sz w:val="32"/>
                <w:szCs w:val="32"/>
                <w:lang w:eastAsia="en-US"/>
              </w:rPr>
            </w:pPr>
            <w:r w:rsidRPr="000B16A9">
              <w:rPr>
                <w:b/>
                <w:bCs/>
                <w:color w:val="7030A0"/>
                <w:sz w:val="32"/>
                <w:szCs w:val="32"/>
                <w:lang w:eastAsia="en-US"/>
              </w:rPr>
              <w:t>Creatinine</w:t>
            </w:r>
          </w:p>
        </w:tc>
        <w:tc>
          <w:tcPr>
            <w:tcW w:w="1480" w:type="dxa"/>
            <w:tcBorders>
              <w:top w:val="single" w:sz="4" w:space="0" w:color="auto"/>
              <w:left w:val="single" w:sz="4" w:space="0" w:color="auto"/>
              <w:bottom w:val="single" w:sz="4" w:space="0" w:color="auto"/>
              <w:right w:val="single" w:sz="4" w:space="0" w:color="auto"/>
            </w:tcBorders>
            <w:shd w:val="clear" w:color="auto" w:fill="E24CA2"/>
          </w:tcPr>
          <w:p w14:paraId="1ACFBA84" w14:textId="77777777" w:rsidR="006659AC" w:rsidRPr="006659AC" w:rsidRDefault="006659AC" w:rsidP="00B83A40">
            <w:pPr>
              <w:pStyle w:val="ListParagraph"/>
              <w:ind w:left="0"/>
              <w:jc w:val="center"/>
              <w:rPr>
                <w:sz w:val="28"/>
                <w:szCs w:val="28"/>
                <w:lang w:eastAsia="en-US"/>
              </w:rPr>
            </w:pPr>
          </w:p>
        </w:tc>
        <w:tc>
          <w:tcPr>
            <w:tcW w:w="1676" w:type="dxa"/>
            <w:gridSpan w:val="2"/>
            <w:tcBorders>
              <w:top w:val="single" w:sz="4" w:space="0" w:color="auto"/>
              <w:left w:val="single" w:sz="4" w:space="0" w:color="auto"/>
              <w:bottom w:val="single" w:sz="4" w:space="0" w:color="auto"/>
              <w:right w:val="single" w:sz="4" w:space="0" w:color="auto"/>
            </w:tcBorders>
            <w:shd w:val="clear" w:color="auto" w:fill="E24CA2"/>
          </w:tcPr>
          <w:p w14:paraId="2E332A6D" w14:textId="77777777" w:rsidR="006659AC" w:rsidRPr="006659AC" w:rsidRDefault="006659AC" w:rsidP="00B83A40">
            <w:pPr>
              <w:pStyle w:val="ListParagraph"/>
              <w:ind w:left="0"/>
              <w:jc w:val="center"/>
              <w:rPr>
                <w:sz w:val="28"/>
                <w:szCs w:val="28"/>
                <w:lang w:eastAsia="en-US"/>
              </w:rPr>
            </w:pPr>
          </w:p>
        </w:tc>
        <w:tc>
          <w:tcPr>
            <w:tcW w:w="2321" w:type="dxa"/>
            <w:tcBorders>
              <w:top w:val="single" w:sz="4" w:space="0" w:color="auto"/>
              <w:left w:val="single" w:sz="4" w:space="0" w:color="auto"/>
              <w:bottom w:val="single" w:sz="4" w:space="0" w:color="auto"/>
              <w:right w:val="single" w:sz="4" w:space="0" w:color="auto"/>
            </w:tcBorders>
            <w:hideMark/>
          </w:tcPr>
          <w:p w14:paraId="7BEF7495" w14:textId="77777777" w:rsidR="006659AC" w:rsidRPr="006659AC" w:rsidRDefault="006659AC" w:rsidP="00B83A40">
            <w:pPr>
              <w:pStyle w:val="ListParagraph"/>
              <w:ind w:left="0"/>
              <w:jc w:val="center"/>
              <w:rPr>
                <w:sz w:val="28"/>
                <w:szCs w:val="28"/>
                <w:lang w:eastAsia="en-US"/>
              </w:rPr>
            </w:pPr>
            <w:r w:rsidRPr="006659AC">
              <w:rPr>
                <w:sz w:val="28"/>
                <w:szCs w:val="28"/>
                <w:lang w:eastAsia="en-US"/>
              </w:rPr>
              <w:t>&gt;25% baseline</w:t>
            </w:r>
          </w:p>
        </w:tc>
      </w:tr>
      <w:tr w:rsidR="006659AC" w14:paraId="32F7A2AC" w14:textId="77777777" w:rsidTr="000B16A9">
        <w:tc>
          <w:tcPr>
            <w:tcW w:w="3260"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55B1AD38" w14:textId="77777777" w:rsidR="006659AC" w:rsidRDefault="006659AC" w:rsidP="00B83A40">
            <w:pPr>
              <w:pStyle w:val="ListParagraph"/>
              <w:ind w:left="0"/>
              <w:jc w:val="center"/>
              <w:rPr>
                <w:sz w:val="28"/>
                <w:szCs w:val="28"/>
                <w:lang w:eastAsia="en-US"/>
              </w:rPr>
            </w:pPr>
          </w:p>
        </w:tc>
        <w:tc>
          <w:tcPr>
            <w:tcW w:w="1480"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1C4F1B4E" w14:textId="77777777" w:rsidR="006659AC" w:rsidRDefault="006659AC" w:rsidP="00B83A40">
            <w:pPr>
              <w:pStyle w:val="ListParagraph"/>
              <w:ind w:left="0"/>
              <w:jc w:val="center"/>
              <w:rPr>
                <w:sz w:val="28"/>
                <w:szCs w:val="28"/>
                <w:lang w:eastAsia="en-US"/>
              </w:rPr>
            </w:pPr>
          </w:p>
        </w:tc>
        <w:tc>
          <w:tcPr>
            <w:tcW w:w="1676"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21D750A3" w14:textId="77777777" w:rsidR="006659AC" w:rsidRDefault="006659AC" w:rsidP="00B83A40">
            <w:pPr>
              <w:pStyle w:val="ListParagraph"/>
              <w:ind w:left="0"/>
              <w:jc w:val="center"/>
              <w:rPr>
                <w:sz w:val="28"/>
                <w:szCs w:val="28"/>
                <w:lang w:eastAsia="en-US"/>
              </w:rPr>
            </w:pPr>
          </w:p>
        </w:tc>
        <w:tc>
          <w:tcPr>
            <w:tcW w:w="2321"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14:paraId="5C3D33C3" w14:textId="77777777" w:rsidR="006659AC" w:rsidRDefault="006659AC" w:rsidP="00B83A40">
            <w:pPr>
              <w:pStyle w:val="ListParagraph"/>
              <w:ind w:left="0"/>
              <w:jc w:val="center"/>
              <w:rPr>
                <w:sz w:val="28"/>
                <w:szCs w:val="28"/>
                <w:lang w:eastAsia="en-US"/>
              </w:rPr>
            </w:pPr>
          </w:p>
        </w:tc>
      </w:tr>
      <w:tr w:rsidR="006659AC" w14:paraId="73A45FDC" w14:textId="77777777" w:rsidTr="000B16A9">
        <w:tc>
          <w:tcPr>
            <w:tcW w:w="3260" w:type="dxa"/>
            <w:tcBorders>
              <w:top w:val="double" w:sz="4" w:space="0" w:color="auto"/>
              <w:left w:val="single" w:sz="4" w:space="0" w:color="auto"/>
              <w:bottom w:val="single" w:sz="4" w:space="0" w:color="auto"/>
              <w:right w:val="single" w:sz="4" w:space="0" w:color="auto"/>
            </w:tcBorders>
            <w:shd w:val="clear" w:color="auto" w:fill="EF95C4"/>
            <w:hideMark/>
          </w:tcPr>
          <w:p w14:paraId="61286A5D" w14:textId="77777777" w:rsidR="006659AC" w:rsidRPr="006659AC" w:rsidRDefault="006659AC" w:rsidP="00B83A40">
            <w:pPr>
              <w:pStyle w:val="ListParagraph"/>
              <w:ind w:left="0"/>
              <w:jc w:val="center"/>
              <w:rPr>
                <w:b/>
                <w:bCs/>
                <w:sz w:val="32"/>
                <w:szCs w:val="32"/>
                <w:lang w:eastAsia="en-US"/>
              </w:rPr>
            </w:pPr>
            <w:r w:rsidRPr="006659AC">
              <w:rPr>
                <w:b/>
                <w:bCs/>
                <w:sz w:val="32"/>
                <w:szCs w:val="32"/>
                <w:lang w:eastAsia="en-US"/>
              </w:rPr>
              <w:t>Any two Increase/Decrease changes or meeting one absolute TLS threshold?</w:t>
            </w:r>
          </w:p>
        </w:tc>
        <w:tc>
          <w:tcPr>
            <w:tcW w:w="1905" w:type="dxa"/>
            <w:gridSpan w:val="2"/>
            <w:tcBorders>
              <w:top w:val="double" w:sz="4" w:space="0" w:color="auto"/>
              <w:left w:val="single" w:sz="4" w:space="0" w:color="auto"/>
              <w:bottom w:val="single" w:sz="4" w:space="0" w:color="auto"/>
              <w:right w:val="single" w:sz="4" w:space="0" w:color="auto"/>
            </w:tcBorders>
            <w:hideMark/>
          </w:tcPr>
          <w:p w14:paraId="66854F5E" w14:textId="79F1EDC3" w:rsidR="006659AC" w:rsidRPr="006659AC" w:rsidRDefault="006659AC" w:rsidP="00B83A40">
            <w:pPr>
              <w:pStyle w:val="ListParagraph"/>
              <w:ind w:left="0"/>
              <w:jc w:val="center"/>
              <w:rPr>
                <w:sz w:val="28"/>
                <w:szCs w:val="28"/>
                <w:u w:val="single"/>
                <w:lang w:eastAsia="en-US"/>
              </w:rPr>
            </w:pPr>
            <w:r w:rsidRPr="006659AC">
              <w:rPr>
                <w:sz w:val="28"/>
                <w:szCs w:val="28"/>
                <w:u w:val="single"/>
                <w:lang w:eastAsia="en-US"/>
              </w:rPr>
              <w:t>NO</w:t>
            </w:r>
          </w:p>
          <w:p w14:paraId="2342C455" w14:textId="77777777" w:rsidR="006659AC" w:rsidRDefault="006659AC" w:rsidP="00B83A40">
            <w:pPr>
              <w:pStyle w:val="ListParagraph"/>
              <w:ind w:left="0"/>
              <w:jc w:val="center"/>
              <w:rPr>
                <w:sz w:val="28"/>
                <w:szCs w:val="28"/>
                <w:lang w:eastAsia="en-US"/>
              </w:rPr>
            </w:pPr>
            <w:r>
              <w:rPr>
                <w:sz w:val="28"/>
                <w:szCs w:val="28"/>
                <w:lang w:eastAsia="en-US"/>
              </w:rPr>
              <w:t>Inform patient and continue with ramp up process.</w:t>
            </w:r>
          </w:p>
        </w:tc>
        <w:tc>
          <w:tcPr>
            <w:tcW w:w="3572" w:type="dxa"/>
            <w:gridSpan w:val="2"/>
            <w:tcBorders>
              <w:top w:val="double" w:sz="4" w:space="0" w:color="auto"/>
              <w:left w:val="single" w:sz="4" w:space="0" w:color="auto"/>
              <w:bottom w:val="single" w:sz="4" w:space="0" w:color="auto"/>
              <w:right w:val="single" w:sz="4" w:space="0" w:color="auto"/>
            </w:tcBorders>
            <w:shd w:val="clear" w:color="auto" w:fill="DD2183"/>
            <w:hideMark/>
          </w:tcPr>
          <w:p w14:paraId="1102A840" w14:textId="2CEB306C" w:rsidR="006659AC" w:rsidRPr="006659AC" w:rsidRDefault="006659AC" w:rsidP="00B83A40">
            <w:pPr>
              <w:pStyle w:val="ListParagraph"/>
              <w:ind w:left="0"/>
              <w:jc w:val="center"/>
              <w:rPr>
                <w:b/>
                <w:bCs/>
                <w:color w:val="FFFFFF" w:themeColor="background1"/>
                <w:sz w:val="32"/>
                <w:szCs w:val="32"/>
                <w:u w:val="single"/>
                <w:lang w:eastAsia="en-US"/>
              </w:rPr>
            </w:pPr>
            <w:r w:rsidRPr="006659AC">
              <w:rPr>
                <w:b/>
                <w:bCs/>
                <w:color w:val="FFFFFF" w:themeColor="background1"/>
                <w:sz w:val="32"/>
                <w:szCs w:val="32"/>
                <w:u w:val="single"/>
                <w:lang w:eastAsia="en-US"/>
              </w:rPr>
              <w:t>YES</w:t>
            </w:r>
          </w:p>
          <w:p w14:paraId="5372BC08" w14:textId="79167613" w:rsidR="006659AC" w:rsidRPr="006659AC" w:rsidRDefault="006659AC" w:rsidP="00B83A40">
            <w:pPr>
              <w:pStyle w:val="ListParagraph"/>
              <w:ind w:left="0"/>
              <w:jc w:val="center"/>
              <w:rPr>
                <w:b/>
                <w:bCs/>
                <w:sz w:val="32"/>
                <w:szCs w:val="32"/>
                <w:lang w:eastAsia="en-US"/>
              </w:rPr>
            </w:pPr>
            <w:r w:rsidRPr="006659AC">
              <w:rPr>
                <w:b/>
                <w:bCs/>
                <w:color w:val="FFFFFF" w:themeColor="background1"/>
                <w:sz w:val="32"/>
                <w:szCs w:val="32"/>
                <w:lang w:eastAsia="en-US"/>
              </w:rPr>
              <w:t xml:space="preserve"> </w:t>
            </w:r>
            <w:r>
              <w:rPr>
                <w:b/>
                <w:bCs/>
                <w:color w:val="FFFFFF" w:themeColor="background1"/>
                <w:sz w:val="32"/>
                <w:szCs w:val="32"/>
                <w:lang w:eastAsia="en-US"/>
              </w:rPr>
              <w:t>H</w:t>
            </w:r>
            <w:r w:rsidRPr="006659AC">
              <w:rPr>
                <w:b/>
                <w:bCs/>
                <w:color w:val="FFFFFF" w:themeColor="background1"/>
                <w:sz w:val="32"/>
                <w:szCs w:val="32"/>
                <w:lang w:eastAsia="en-US"/>
              </w:rPr>
              <w:t>old next venetoclax, increase fluids (oral) and repeat tumour lysis bloods</w:t>
            </w:r>
            <w:r w:rsidRPr="003601EA">
              <w:rPr>
                <w:b/>
                <w:bCs/>
                <w:color w:val="FFFFFF" w:themeColor="background1"/>
                <w:sz w:val="48"/>
                <w:szCs w:val="48"/>
                <w:highlight w:val="cyan"/>
                <w:vertAlign w:val="superscript"/>
                <w:lang w:eastAsia="en-US"/>
              </w:rPr>
              <w:t>#</w:t>
            </w:r>
            <w:r w:rsidRPr="003601EA">
              <w:rPr>
                <w:b/>
                <w:bCs/>
                <w:color w:val="FFFFFF" w:themeColor="background1"/>
                <w:sz w:val="32"/>
                <w:szCs w:val="32"/>
                <w:highlight w:val="cyan"/>
                <w:lang w:eastAsia="en-US"/>
              </w:rPr>
              <w:t>.</w:t>
            </w:r>
          </w:p>
        </w:tc>
      </w:tr>
    </w:tbl>
    <w:p w14:paraId="03FE7CC7" w14:textId="419AF68E" w:rsidR="006659AC" w:rsidRDefault="000B16A9" w:rsidP="006659AC">
      <w:pPr>
        <w:pStyle w:val="ListParagraph"/>
        <w:ind w:left="0"/>
        <w:rPr>
          <w:sz w:val="18"/>
          <w:szCs w:val="18"/>
        </w:rPr>
      </w:pPr>
      <w:r>
        <w:rPr>
          <w:sz w:val="18"/>
          <w:szCs w:val="18"/>
          <w:vertAlign w:val="superscript"/>
        </w:rPr>
        <w:t xml:space="preserve">        </w:t>
      </w:r>
      <w:proofErr w:type="spellStart"/>
      <w:r w:rsidR="006659AC">
        <w:rPr>
          <w:sz w:val="18"/>
          <w:szCs w:val="18"/>
          <w:vertAlign w:val="superscript"/>
        </w:rPr>
        <w:t>a</w:t>
      </w:r>
      <w:r w:rsidR="006659AC">
        <w:rPr>
          <w:sz w:val="18"/>
          <w:szCs w:val="18"/>
        </w:rPr>
        <w:t>Multiply</w:t>
      </w:r>
      <w:proofErr w:type="spellEnd"/>
      <w:r w:rsidR="006659AC">
        <w:rPr>
          <w:sz w:val="18"/>
          <w:szCs w:val="18"/>
        </w:rPr>
        <w:t xml:space="preserve"> base line electrolyte by 1.25.          </w:t>
      </w:r>
      <w:r w:rsidR="006659AC">
        <w:rPr>
          <w:sz w:val="18"/>
          <w:szCs w:val="18"/>
        </w:rPr>
        <w:tab/>
      </w:r>
      <w:r w:rsidR="006659AC">
        <w:rPr>
          <w:sz w:val="18"/>
          <w:szCs w:val="18"/>
        </w:rPr>
        <w:tab/>
      </w:r>
      <w:r w:rsidR="006659AC">
        <w:rPr>
          <w:sz w:val="18"/>
          <w:szCs w:val="18"/>
        </w:rPr>
        <w:tab/>
      </w:r>
      <w:proofErr w:type="spellStart"/>
      <w:r w:rsidR="006659AC">
        <w:rPr>
          <w:sz w:val="18"/>
          <w:szCs w:val="18"/>
          <w:vertAlign w:val="superscript"/>
        </w:rPr>
        <w:t>b</w:t>
      </w:r>
      <w:r w:rsidR="006659AC">
        <w:rPr>
          <w:sz w:val="18"/>
          <w:szCs w:val="18"/>
        </w:rPr>
        <w:t>Multiply</w:t>
      </w:r>
      <w:proofErr w:type="spellEnd"/>
      <w:r w:rsidR="006659AC">
        <w:rPr>
          <w:sz w:val="18"/>
          <w:szCs w:val="18"/>
        </w:rPr>
        <w:t xml:space="preserve"> baseline electrolyte by 0.75.</w:t>
      </w:r>
    </w:p>
    <w:p w14:paraId="55058987" w14:textId="77777777" w:rsidR="006659AC" w:rsidRDefault="006659AC" w:rsidP="006659AC">
      <w:pPr>
        <w:pStyle w:val="ListParagraph"/>
        <w:ind w:left="0"/>
        <w:rPr>
          <w:sz w:val="18"/>
          <w:szCs w:val="18"/>
        </w:rPr>
      </w:pPr>
    </w:p>
    <w:p w14:paraId="5079D277" w14:textId="77777777" w:rsidR="006659AC" w:rsidRDefault="006659AC" w:rsidP="006659AC">
      <w:pPr>
        <w:pStyle w:val="ListParagraph"/>
        <w:numPr>
          <w:ilvl w:val="1"/>
          <w:numId w:val="1"/>
        </w:numPr>
        <w:rPr>
          <w:sz w:val="28"/>
          <w:szCs w:val="28"/>
        </w:rPr>
      </w:pPr>
      <w:r>
        <w:rPr>
          <w:sz w:val="28"/>
          <w:szCs w:val="28"/>
        </w:rPr>
        <w:t xml:space="preserve">No, inform patient ‘bloods are satisfactory’ and continue. </w:t>
      </w:r>
    </w:p>
    <w:p w14:paraId="6C8BF193" w14:textId="77777777" w:rsidR="006659AC" w:rsidRDefault="006659AC" w:rsidP="006659AC">
      <w:pPr>
        <w:pStyle w:val="ListParagraph"/>
        <w:ind w:left="1440"/>
        <w:rPr>
          <w:sz w:val="28"/>
          <w:szCs w:val="28"/>
        </w:rPr>
      </w:pPr>
    </w:p>
    <w:p w14:paraId="4FBF8625" w14:textId="1228602A" w:rsidR="006659AC" w:rsidRDefault="006659AC" w:rsidP="006659AC">
      <w:pPr>
        <w:pStyle w:val="ListParagraph"/>
        <w:numPr>
          <w:ilvl w:val="1"/>
          <w:numId w:val="1"/>
        </w:numPr>
        <w:rPr>
          <w:sz w:val="28"/>
          <w:szCs w:val="28"/>
        </w:rPr>
      </w:pPr>
      <w:r>
        <w:rPr>
          <w:b/>
          <w:bCs/>
          <w:sz w:val="28"/>
          <w:szCs w:val="28"/>
        </w:rPr>
        <w:t>Yes</w:t>
      </w:r>
      <w:r>
        <w:rPr>
          <w:sz w:val="28"/>
          <w:szCs w:val="28"/>
        </w:rPr>
        <w:t>, hold</w:t>
      </w:r>
      <w:r>
        <w:rPr>
          <w:b/>
          <w:bCs/>
          <w:sz w:val="28"/>
          <w:szCs w:val="28"/>
        </w:rPr>
        <w:t xml:space="preserve"> next venetoclax</w:t>
      </w:r>
      <w:r>
        <w:rPr>
          <w:sz w:val="28"/>
          <w:szCs w:val="28"/>
        </w:rPr>
        <w:t xml:space="preserve">, </w:t>
      </w:r>
      <w:r>
        <w:rPr>
          <w:b/>
          <w:bCs/>
          <w:sz w:val="28"/>
          <w:szCs w:val="28"/>
        </w:rPr>
        <w:t>increase fluids (oral or, if not tolerated, IV)</w:t>
      </w:r>
      <w:r>
        <w:rPr>
          <w:sz w:val="28"/>
          <w:szCs w:val="28"/>
        </w:rPr>
        <w:t xml:space="preserve"> and </w:t>
      </w:r>
      <w:r>
        <w:rPr>
          <w:b/>
          <w:bCs/>
          <w:sz w:val="28"/>
          <w:szCs w:val="28"/>
        </w:rPr>
        <w:t>repeat tumour lysis bloods.</w:t>
      </w:r>
      <w:r>
        <w:rPr>
          <w:sz w:val="28"/>
          <w:szCs w:val="28"/>
        </w:rPr>
        <w:t xml:space="preserve"> </w:t>
      </w:r>
    </w:p>
    <w:p w14:paraId="018A0918" w14:textId="77777777" w:rsidR="006659AC" w:rsidRDefault="006659AC" w:rsidP="006659AC">
      <w:pPr>
        <w:ind w:left="1080"/>
        <w:rPr>
          <w:sz w:val="28"/>
          <w:szCs w:val="28"/>
        </w:rPr>
      </w:pPr>
      <w:r w:rsidRPr="003601EA">
        <w:rPr>
          <w:b/>
          <w:bCs/>
          <w:sz w:val="28"/>
          <w:szCs w:val="28"/>
          <w:highlight w:val="cyan"/>
          <w:vertAlign w:val="superscript"/>
        </w:rPr>
        <w:t>#</w:t>
      </w:r>
      <w:r>
        <w:rPr>
          <w:sz w:val="28"/>
          <w:szCs w:val="28"/>
        </w:rPr>
        <w:t xml:space="preserve">For minor electrolyte changes (increase or decreases that do not meet absolute criteria </w:t>
      </w:r>
      <w:r w:rsidRPr="003601EA">
        <w:rPr>
          <w:sz w:val="28"/>
          <w:szCs w:val="28"/>
          <w:highlight w:val="yellow"/>
        </w:rPr>
        <w:t>or one isolated phosphate or urate rise)</w:t>
      </w:r>
      <w:r>
        <w:rPr>
          <w:sz w:val="28"/>
          <w:szCs w:val="28"/>
        </w:rPr>
        <w:t xml:space="preserve"> TLS bloods can be checked within 24 hours.  Gaviscon can be administered for isolated </w:t>
      </w:r>
      <w:proofErr w:type="spellStart"/>
      <w:r>
        <w:rPr>
          <w:sz w:val="28"/>
          <w:szCs w:val="28"/>
        </w:rPr>
        <w:t>hyperphosphataemia</w:t>
      </w:r>
      <w:proofErr w:type="spellEnd"/>
      <w:r>
        <w:rPr>
          <w:sz w:val="28"/>
          <w:szCs w:val="28"/>
        </w:rPr>
        <w:t xml:space="preserve">.  </w:t>
      </w:r>
    </w:p>
    <w:p w14:paraId="278B946B" w14:textId="77777777" w:rsidR="006659AC" w:rsidRDefault="006659AC" w:rsidP="006659AC">
      <w:pPr>
        <w:rPr>
          <w:sz w:val="28"/>
          <w:szCs w:val="28"/>
        </w:rPr>
      </w:pPr>
    </w:p>
    <w:p w14:paraId="30C99747" w14:textId="77777777" w:rsidR="006659AC" w:rsidRDefault="006659AC" w:rsidP="006659AC">
      <w:pPr>
        <w:pStyle w:val="ListParagraph"/>
        <w:numPr>
          <w:ilvl w:val="0"/>
          <w:numId w:val="2"/>
        </w:numPr>
        <w:rPr>
          <w:sz w:val="28"/>
          <w:szCs w:val="28"/>
        </w:rPr>
      </w:pPr>
      <w:r>
        <w:rPr>
          <w:sz w:val="28"/>
          <w:szCs w:val="28"/>
        </w:rPr>
        <w:t>If blood chemistry has resolved within 24-48 hours, resume treatment at same dose.</w:t>
      </w:r>
    </w:p>
    <w:p w14:paraId="40BD4BEF" w14:textId="77777777" w:rsidR="006659AC" w:rsidRDefault="006659AC" w:rsidP="006659AC">
      <w:pPr>
        <w:pStyle w:val="ListParagraph"/>
        <w:numPr>
          <w:ilvl w:val="0"/>
          <w:numId w:val="2"/>
        </w:numPr>
        <w:rPr>
          <w:sz w:val="28"/>
          <w:szCs w:val="28"/>
        </w:rPr>
      </w:pPr>
      <w:r>
        <w:rPr>
          <w:sz w:val="28"/>
          <w:szCs w:val="28"/>
        </w:rPr>
        <w:t xml:space="preserve">If continuing TLS on 48-hour bloods, dose reduction is needed – mandatory discussion with consultant or haematology registrar. </w:t>
      </w:r>
    </w:p>
    <w:p w14:paraId="3916D672" w14:textId="77777777" w:rsidR="006659AC" w:rsidRDefault="006659AC" w:rsidP="006659AC">
      <w:pPr>
        <w:pStyle w:val="ListParagraph"/>
        <w:numPr>
          <w:ilvl w:val="0"/>
          <w:numId w:val="2"/>
        </w:numPr>
        <w:rPr>
          <w:sz w:val="28"/>
          <w:szCs w:val="28"/>
          <w:u w:val="single"/>
        </w:rPr>
      </w:pPr>
      <w:r>
        <w:rPr>
          <w:sz w:val="28"/>
          <w:szCs w:val="28"/>
        </w:rPr>
        <w:t>To re-start when TLS bloods have normalised.</w:t>
      </w:r>
    </w:p>
    <w:p w14:paraId="3C2DA1A4" w14:textId="77777777" w:rsidR="006659AC" w:rsidRPr="00F73B2C" w:rsidRDefault="006659AC" w:rsidP="006659AC">
      <w:pPr>
        <w:pStyle w:val="ListParagraph"/>
        <w:numPr>
          <w:ilvl w:val="0"/>
          <w:numId w:val="2"/>
        </w:numPr>
        <w:rPr>
          <w:b/>
          <w:bCs/>
          <w:sz w:val="28"/>
          <w:szCs w:val="28"/>
          <w:u w:val="single"/>
        </w:rPr>
      </w:pPr>
      <w:r>
        <w:rPr>
          <w:sz w:val="28"/>
          <w:szCs w:val="28"/>
        </w:rPr>
        <w:t>All modified doses should be continued for at least 1 week, 7 days in total, before the next dose escalation.</w:t>
      </w:r>
    </w:p>
    <w:p w14:paraId="3D9EDC55" w14:textId="77777777" w:rsidR="006659AC" w:rsidRDefault="006659AC" w:rsidP="006659AC">
      <w:pPr>
        <w:pStyle w:val="ListParagraph"/>
        <w:rPr>
          <w:b/>
          <w:bCs/>
          <w:sz w:val="28"/>
          <w:szCs w:val="28"/>
          <w:u w:val="single"/>
        </w:rPr>
      </w:pPr>
    </w:p>
    <w:p w14:paraId="4A211B3F" w14:textId="2AEEE75D" w:rsidR="00640CBC" w:rsidRPr="009811BA" w:rsidRDefault="006659AC">
      <w:pPr>
        <w:rPr>
          <w:sz w:val="28"/>
          <w:szCs w:val="28"/>
        </w:rPr>
      </w:pPr>
      <w:r w:rsidRPr="00F73B2C">
        <w:rPr>
          <w:b/>
          <w:bCs/>
          <w:sz w:val="28"/>
          <w:szCs w:val="28"/>
        </w:rPr>
        <w:t>Absolute TLS changes of potassium, calcium or creatinine</w:t>
      </w:r>
      <w:r>
        <w:rPr>
          <w:sz w:val="28"/>
          <w:szCs w:val="28"/>
        </w:rPr>
        <w:t xml:space="preserve"> should be reassessed immediately either on C7, MAOS or the nearest medical centre able to urgently check bloods and administer IV fluids.  These cases are expected to be very rare and handed over to medical team for further management (lymphoid registrar in hours, on call haematology registrar out of hours).</w:t>
      </w:r>
    </w:p>
    <w:sectPr w:rsidR="00640CBC" w:rsidRPr="00981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6A8A"/>
    <w:multiLevelType w:val="hybridMultilevel"/>
    <w:tmpl w:val="07CC9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2310BC"/>
    <w:multiLevelType w:val="hybridMultilevel"/>
    <w:tmpl w:val="0AD009EE"/>
    <w:lvl w:ilvl="0" w:tplc="D460FEF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5622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94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AC"/>
    <w:rsid w:val="000B16A9"/>
    <w:rsid w:val="00284671"/>
    <w:rsid w:val="003601EA"/>
    <w:rsid w:val="00640CBC"/>
    <w:rsid w:val="006659AC"/>
    <w:rsid w:val="008164EC"/>
    <w:rsid w:val="00981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2DEF"/>
  <w15:chartTrackingRefBased/>
  <w15:docId w15:val="{71A60EE7-C001-432C-9E43-840B2526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AC"/>
    <w:pPr>
      <w:spacing w:after="0" w:line="240" w:lineRule="auto"/>
    </w:pPr>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AC"/>
    <w:pPr>
      <w:ind w:left="720"/>
      <w:contextualSpacing/>
    </w:pPr>
  </w:style>
  <w:style w:type="table" w:styleId="TableGrid">
    <w:name w:val="Table Grid"/>
    <w:basedOn w:val="TableNormal"/>
    <w:uiPriority w:val="39"/>
    <w:rsid w:val="006659A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01EA"/>
    <w:rPr>
      <w:sz w:val="16"/>
      <w:szCs w:val="16"/>
    </w:rPr>
  </w:style>
  <w:style w:type="paragraph" w:styleId="CommentText">
    <w:name w:val="annotation text"/>
    <w:basedOn w:val="Normal"/>
    <w:link w:val="CommentTextChar"/>
    <w:uiPriority w:val="99"/>
    <w:unhideWhenUsed/>
    <w:rsid w:val="003601EA"/>
    <w:rPr>
      <w:sz w:val="20"/>
      <w:szCs w:val="20"/>
    </w:rPr>
  </w:style>
  <w:style w:type="character" w:customStyle="1" w:styleId="CommentTextChar">
    <w:name w:val="Comment Text Char"/>
    <w:basedOn w:val="DefaultParagraphFont"/>
    <w:link w:val="CommentText"/>
    <w:uiPriority w:val="99"/>
    <w:rsid w:val="003601EA"/>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601EA"/>
    <w:rPr>
      <w:b/>
      <w:bCs/>
    </w:rPr>
  </w:style>
  <w:style w:type="character" w:customStyle="1" w:styleId="CommentSubjectChar">
    <w:name w:val="Comment Subject Char"/>
    <w:basedOn w:val="CommentTextChar"/>
    <w:link w:val="CommentSubject"/>
    <w:uiPriority w:val="99"/>
    <w:semiHidden/>
    <w:rsid w:val="003601EA"/>
    <w:rPr>
      <w:rFonts w:eastAsiaTheme="minorEastAsia"/>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Matulay, Klara</dc:creator>
  <cp:keywords/>
  <dc:description/>
  <cp:lastModifiedBy>Matulay, Klara</cp:lastModifiedBy>
  <cp:revision>4</cp:revision>
  <cp:lastPrinted>2024-08-22T12:34:00Z</cp:lastPrinted>
  <dcterms:created xsi:type="dcterms:W3CDTF">2024-08-22T12:21:00Z</dcterms:created>
  <dcterms:modified xsi:type="dcterms:W3CDTF">2026-01-15T15:06:00Z</dcterms:modified>
</cp:coreProperties>
</file>